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B6E0" w14:textId="77777777" w:rsidR="00652C6E" w:rsidRPr="00C773A7" w:rsidRDefault="00652C6E" w:rsidP="00652C6E">
      <w:pPr>
        <w:jc w:val="center"/>
      </w:pPr>
      <w:r w:rsidRPr="00C773A7">
        <w:rPr>
          <w:noProof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Pr="00C773A7" w:rsidRDefault="00652C6E" w:rsidP="00652C6E"/>
    <w:p w14:paraId="57258AEA" w14:textId="77777777" w:rsidR="00652C6E" w:rsidRPr="00C773A7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Pr="00C773A7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1AC7ADDF" w:rsidR="00652C6E" w:rsidRPr="00C773A7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 w:rsidRPr="00C773A7"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 w:rsidRPr="00C773A7">
        <w:rPr>
          <w:rFonts w:ascii="Sylfaen" w:hAnsi="Sylfaen"/>
          <w:b/>
          <w:bCs/>
          <w:sz w:val="36"/>
          <w:szCs w:val="36"/>
        </w:rPr>
        <w:t>2</w:t>
      </w:r>
      <w:r w:rsidR="004839A3">
        <w:rPr>
          <w:rFonts w:ascii="Sylfaen" w:hAnsi="Sylfaen"/>
          <w:b/>
          <w:bCs/>
          <w:sz w:val="36"/>
          <w:szCs w:val="36"/>
        </w:rPr>
        <w:t>4</w:t>
      </w:r>
      <w:r w:rsidRPr="00C773A7"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ბიუჯეტის</w:t>
      </w:r>
      <w:r w:rsidR="006B79C8" w:rsidRPr="00C773A7">
        <w:rPr>
          <w:rFonts w:ascii="Sylfaen" w:hAnsi="Sylfaen"/>
          <w:b/>
          <w:bCs/>
          <w:sz w:val="36"/>
          <w:szCs w:val="36"/>
        </w:rPr>
        <w:t xml:space="preserve"> </w:t>
      </w:r>
      <w:r w:rsidR="00CA769F">
        <w:rPr>
          <w:rFonts w:ascii="Sylfaen" w:hAnsi="Sylfaen"/>
          <w:b/>
          <w:bCs/>
          <w:sz w:val="36"/>
          <w:szCs w:val="36"/>
        </w:rPr>
        <w:t>9</w:t>
      </w:r>
      <w:r w:rsidR="00F373DC">
        <w:rPr>
          <w:rFonts w:ascii="Sylfaen" w:hAnsi="Sylfaen"/>
          <w:b/>
          <w:bCs/>
          <w:sz w:val="36"/>
          <w:szCs w:val="36"/>
        </w:rPr>
        <w:t xml:space="preserve"> </w:t>
      </w:r>
      <w:r w:rsidR="00F373DC">
        <w:rPr>
          <w:rFonts w:ascii="Sylfaen" w:hAnsi="Sylfaen"/>
          <w:b/>
          <w:bCs/>
          <w:sz w:val="36"/>
          <w:szCs w:val="36"/>
          <w:lang w:val="ka-GE"/>
        </w:rPr>
        <w:t>თვ</w:t>
      </w:r>
      <w:r w:rsidR="006B79C8" w:rsidRPr="00C773A7">
        <w:rPr>
          <w:rFonts w:ascii="Sylfaen" w:hAnsi="Sylfaen"/>
          <w:b/>
          <w:bCs/>
          <w:sz w:val="36"/>
          <w:szCs w:val="36"/>
          <w:lang w:val="ka-GE"/>
        </w:rPr>
        <w:t>ის</w:t>
      </w:r>
      <w:r w:rsidRPr="00C773A7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A928EAA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C773A7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C773A7"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50149386" w:rsidR="00652C6E" w:rsidRPr="00C773A7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 w:rsidRPr="00C773A7"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 w:rsidRPr="00C773A7">
        <w:rPr>
          <w:rFonts w:ascii="Sylfaen" w:hAnsi="Sylfaen"/>
          <w:b/>
          <w:bCs/>
          <w:sz w:val="28"/>
          <w:szCs w:val="28"/>
        </w:rPr>
        <w:t>2</w:t>
      </w:r>
      <w:r w:rsidR="004839A3">
        <w:rPr>
          <w:rFonts w:ascii="Sylfaen" w:hAnsi="Sylfaen"/>
          <w:b/>
          <w:bCs/>
          <w:sz w:val="28"/>
          <w:szCs w:val="28"/>
        </w:rPr>
        <w:t>4</w:t>
      </w:r>
    </w:p>
    <w:p w14:paraId="7A1D9DC2" w14:textId="77777777" w:rsidR="00652C6E" w:rsidRPr="00C773A7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5D3A07BF" w14:textId="64865C0B"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highlight w:val="yellow"/>
          <w:lang w:val="pt-BR"/>
        </w:rPr>
      </w:pPr>
    </w:p>
    <w:p w14:paraId="1185EC10" w14:textId="77777777" w:rsidR="00F26F14" w:rsidRPr="00C773A7" w:rsidRDefault="00F26F14" w:rsidP="00A7694B">
      <w:pPr>
        <w:jc w:val="center"/>
        <w:rPr>
          <w:rFonts w:ascii="Sylfaen" w:hAnsi="Sylfaen" w:cs="Sylfaen"/>
          <w:b/>
          <w:noProof/>
          <w:sz w:val="28"/>
          <w:szCs w:val="28"/>
          <w:highlight w:val="yellow"/>
          <w:lang w:val="pt-BR"/>
        </w:rPr>
      </w:pPr>
    </w:p>
    <w:p w14:paraId="227F433C" w14:textId="77777777" w:rsidR="00DC01FE" w:rsidRPr="00C773A7" w:rsidRDefault="00DC01FE" w:rsidP="00A7694B">
      <w:pPr>
        <w:jc w:val="center"/>
        <w:rPr>
          <w:rFonts w:ascii="Sylfaen" w:hAnsi="Sylfaen" w:cs="Sylfaen"/>
          <w:b/>
          <w:noProof/>
          <w:sz w:val="28"/>
          <w:szCs w:val="28"/>
          <w:highlight w:val="yellow"/>
          <w:lang w:val="pt-BR"/>
        </w:rPr>
      </w:pPr>
    </w:p>
    <w:p w14:paraId="668E9771" w14:textId="77777777" w:rsidR="001322B1" w:rsidRPr="00F13F30" w:rsidRDefault="00BA23B9" w:rsidP="00A7694B">
      <w:pPr>
        <w:jc w:val="center"/>
        <w:rPr>
          <w:rFonts w:ascii="Sylfaen" w:hAnsi="Sylfaen"/>
          <w:b/>
          <w:noProof/>
          <w:lang w:val="pt-BR"/>
        </w:rPr>
      </w:pPr>
      <w:r w:rsidRPr="00F13F30">
        <w:rPr>
          <w:rFonts w:ascii="Sylfaen" w:hAnsi="Sylfaen" w:cs="Sylfaen"/>
          <w:b/>
          <w:noProof/>
          <w:lang w:val="pt-BR"/>
        </w:rPr>
        <w:lastRenderedPageBreak/>
        <w:t>თავი</w:t>
      </w:r>
      <w:r w:rsidR="001322B1" w:rsidRPr="00F13F30">
        <w:rPr>
          <w:rFonts w:ascii="Sylfaen" w:hAnsi="Sylfaen"/>
          <w:b/>
          <w:noProof/>
          <w:lang w:val="pt-BR"/>
        </w:rPr>
        <w:t xml:space="preserve"> I</w:t>
      </w:r>
    </w:p>
    <w:p w14:paraId="0754C9F5" w14:textId="77777777" w:rsidR="00D71170" w:rsidRPr="00C773A7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3F43ACDC" w:rsidR="007E6BC3" w:rsidRPr="00F13F30" w:rsidRDefault="006B79C8" w:rsidP="00B40552">
      <w:pPr>
        <w:ind w:left="180"/>
        <w:jc w:val="center"/>
        <w:rPr>
          <w:rFonts w:ascii="Sylfaen" w:hAnsi="Sylfaen" w:cs="Sylfaen"/>
          <w:b/>
          <w:noProof/>
          <w:lang w:val="pt-BR"/>
        </w:rPr>
      </w:pPr>
      <w:r w:rsidRPr="00F13F30">
        <w:rPr>
          <w:rFonts w:ascii="Sylfaen" w:hAnsi="Sylfaen" w:cs="Sylfaen"/>
          <w:b/>
          <w:noProof/>
          <w:lang w:val="pt-BR"/>
        </w:rPr>
        <w:t>20</w:t>
      </w:r>
      <w:r w:rsidR="00DC01FE" w:rsidRPr="00F13F30">
        <w:rPr>
          <w:rFonts w:ascii="Sylfaen" w:hAnsi="Sylfaen" w:cs="Sylfaen"/>
          <w:b/>
          <w:noProof/>
          <w:lang w:val="pt-BR"/>
        </w:rPr>
        <w:t>2</w:t>
      </w:r>
      <w:r w:rsidR="004839A3" w:rsidRPr="00F13F30">
        <w:rPr>
          <w:rFonts w:ascii="Sylfaen" w:hAnsi="Sylfaen" w:cs="Sylfaen"/>
          <w:b/>
          <w:noProof/>
        </w:rPr>
        <w:t>4</w:t>
      </w:r>
      <w:r w:rsidRPr="00F13F30">
        <w:rPr>
          <w:rFonts w:ascii="Sylfaen" w:hAnsi="Sylfaen" w:cs="Sylfaen"/>
          <w:b/>
          <w:noProof/>
          <w:lang w:val="pt-BR"/>
        </w:rPr>
        <w:t xml:space="preserve"> წლის </w:t>
      </w:r>
      <w:r w:rsidR="000624D0">
        <w:rPr>
          <w:rFonts w:ascii="Sylfaen" w:hAnsi="Sylfaen" w:cs="Sylfaen"/>
          <w:b/>
          <w:noProof/>
        </w:rPr>
        <w:t>9</w:t>
      </w:r>
      <w:r w:rsidR="00F373DC" w:rsidRPr="00F13F30">
        <w:rPr>
          <w:rFonts w:ascii="Sylfaen" w:hAnsi="Sylfaen" w:cs="Sylfaen"/>
          <w:b/>
          <w:noProof/>
          <w:lang w:val="ka-GE"/>
        </w:rPr>
        <w:t xml:space="preserve"> თვის</w:t>
      </w:r>
      <w:r w:rsidRPr="00F13F30">
        <w:rPr>
          <w:rFonts w:ascii="Sylfaen" w:hAnsi="Sylfaen" w:cs="Sylfaen"/>
          <w:b/>
          <w:noProof/>
          <w:lang w:val="pt-BR"/>
        </w:rPr>
        <w:t xml:space="preserve"> ს</w:t>
      </w:r>
      <w:bookmarkStart w:id="0" w:name="_GoBack"/>
      <w:bookmarkEnd w:id="0"/>
      <w:r w:rsidRPr="00F13F30">
        <w:rPr>
          <w:rFonts w:ascii="Sylfaen" w:hAnsi="Sylfaen" w:cs="Sylfaen"/>
          <w:b/>
          <w:noProof/>
          <w:lang w:val="pt-BR"/>
        </w:rPr>
        <w:t>აქართველოს სახელმწიფო ბიუჯეტის შესრულების მაჩვენებლები</w:t>
      </w:r>
    </w:p>
    <w:p w14:paraId="231EAF59" w14:textId="77777777" w:rsidR="006142D5" w:rsidRPr="00C773A7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50F62A1B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C773A7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C773A7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C773A7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67"/>
        <w:gridCol w:w="1751"/>
        <w:gridCol w:w="1633"/>
        <w:gridCol w:w="1549"/>
      </w:tblGrid>
      <w:tr w:rsidR="00CA769F" w:rsidRPr="00162A1A" w14:paraId="31CF31DC" w14:textId="77777777" w:rsidTr="00CA769F">
        <w:trPr>
          <w:trHeight w:val="284"/>
          <w:tblHeader/>
        </w:trPr>
        <w:tc>
          <w:tcPr>
            <w:tcW w:w="2695" w:type="pct"/>
            <w:shd w:val="clear" w:color="auto" w:fill="auto"/>
            <w:vAlign w:val="center"/>
            <w:hideMark/>
          </w:tcPr>
          <w:p w14:paraId="59C233F3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4FE831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 xml:space="preserve">9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თვის</w:t>
            </w:r>
            <w:proofErr w:type="spellEnd"/>
            <w:r w:rsidRPr="00162A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დაზუსტებული</w:t>
            </w:r>
            <w:proofErr w:type="spellEnd"/>
            <w:r w:rsidRPr="00162A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გეგმა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8B5D65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 xml:space="preserve">9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თვის</w:t>
            </w:r>
            <w:proofErr w:type="spellEnd"/>
            <w:r w:rsidRPr="00162A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B8AAB02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შესრულება</w:t>
            </w:r>
            <w:proofErr w:type="spellEnd"/>
            <w:r w:rsidRPr="00162A1A">
              <w:rPr>
                <w:rFonts w:ascii="Sylfaen" w:hAnsi="Sylfaen" w:cs="Calibri"/>
                <w:sz w:val="18"/>
                <w:szCs w:val="18"/>
              </w:rPr>
              <w:t xml:space="preserve"> %</w:t>
            </w:r>
          </w:p>
        </w:tc>
      </w:tr>
      <w:tr w:rsidR="00CA769F" w:rsidRPr="00162A1A" w14:paraId="4661EFC8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74B89F5C" w14:textId="77777777" w:rsidR="00CA769F" w:rsidRPr="00162A1A" w:rsidRDefault="00CA769F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9C66F7A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15,443,216.8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AF7A40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16,213,023.8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2F1EEC5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105.0%</w:t>
            </w:r>
          </w:p>
        </w:tc>
      </w:tr>
      <w:tr w:rsidR="00CA769F" w:rsidRPr="00162A1A" w14:paraId="6693BCB8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36389B02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49F5CEA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14,127,670.0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0BC57E5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14,883,366.3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484D2B2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105.3%</w:t>
            </w:r>
          </w:p>
        </w:tc>
      </w:tr>
      <w:tr w:rsidR="00CA769F" w:rsidRPr="00162A1A" w14:paraId="308BB922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4CBBD8AD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744C06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177,106.8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956097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243,002.6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AA75599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137.2%</w:t>
            </w:r>
          </w:p>
        </w:tc>
      </w:tr>
      <w:tr w:rsidR="00CA769F" w:rsidRPr="00162A1A" w14:paraId="54D27920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7B4A0C10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სხვა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2BDC349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1,138,440.0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F9C2EE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1,086,654.9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CB7DE29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CA769F" w:rsidRPr="00162A1A" w14:paraId="30A46B81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297D9D3D" w14:textId="77777777" w:rsidR="00CA769F" w:rsidRPr="00162A1A" w:rsidRDefault="00CA769F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305F41E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14,533,043.5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72FD44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14,217,467.2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46ACF6E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97.8%</w:t>
            </w:r>
          </w:p>
        </w:tc>
      </w:tr>
      <w:tr w:rsidR="00CA769F" w:rsidRPr="00162A1A" w14:paraId="2E4AF65F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2EBD04B6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შრომის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6A9395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1,886,314.6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AC9053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1,844,175.6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22987C9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CA769F" w:rsidRPr="00162A1A" w14:paraId="63450C84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0CDA77E0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და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4358C4A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1,710,678.6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53CA67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1,609,029.0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A888AE2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94.1%</w:t>
            </w:r>
          </w:p>
        </w:tc>
      </w:tr>
      <w:tr w:rsidR="00CA769F" w:rsidRPr="00162A1A" w14:paraId="7665A17B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6AFE0D13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F488C09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1,196,852.2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31121C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1,190,758.2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E9071AC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CA769F" w:rsidRPr="00162A1A" w14:paraId="571313A0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33F0EF42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178F51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788,166.2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E1F62F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762,573.8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6AE4829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CA769F" w:rsidRPr="00162A1A" w14:paraId="7C743BE8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11E4CCF3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97485E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1,177,223.4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BFF990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1,108,114.8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6D60B17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94.1%</w:t>
            </w:r>
          </w:p>
        </w:tc>
      </w:tr>
      <w:tr w:rsidR="00CA769F" w:rsidRPr="00162A1A" w14:paraId="1F5599CA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122B2939" w14:textId="77777777" w:rsidR="00CA769F" w:rsidRPr="00162A1A" w:rsidRDefault="00CA769F">
            <w:pPr>
              <w:ind w:firstLineChars="200" w:firstLine="360"/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მათ</w:t>
            </w:r>
            <w:proofErr w:type="spellEnd"/>
            <w:r w:rsidRPr="00162A1A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შორის</w:t>
            </w:r>
            <w:proofErr w:type="spellEnd"/>
            <w:r w:rsidRPr="00162A1A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 xml:space="preserve">, </w:t>
            </w:r>
            <w:proofErr w:type="spellStart"/>
            <w:r w:rsidRPr="00162A1A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კაპიტალური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D91F97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893,571.4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9D99F4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851,860.9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9280506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CA769F" w:rsidRPr="00162A1A" w14:paraId="233576B0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31F98F5C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FD8002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5,745,365.4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24A06D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5,740,666.7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52B24F4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CA769F" w:rsidRPr="00162A1A" w14:paraId="07D332AF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551713CE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სხვა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5FA5D1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2,028,443.2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6936E9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1,962,149.0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86C8FBD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CA769F" w:rsidRPr="00162A1A" w14:paraId="7635068D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4C4C2210" w14:textId="77777777" w:rsidR="00CA769F" w:rsidRPr="00162A1A" w:rsidRDefault="00CA769F">
            <w:pPr>
              <w:ind w:firstLineChars="200" w:firstLine="360"/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 xml:space="preserve">    </w:t>
            </w:r>
            <w:proofErr w:type="spellStart"/>
            <w:r w:rsidRPr="00162A1A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მათ</w:t>
            </w:r>
            <w:proofErr w:type="spellEnd"/>
            <w:r w:rsidRPr="00162A1A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შორის</w:t>
            </w:r>
            <w:proofErr w:type="spellEnd"/>
            <w:r w:rsidRPr="00162A1A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 xml:space="preserve">,  </w:t>
            </w:r>
            <w:proofErr w:type="spellStart"/>
            <w:r w:rsidRPr="00162A1A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>კაპიტალური</w:t>
            </w:r>
            <w:proofErr w:type="spellEnd"/>
            <w:r w:rsidRPr="00162A1A">
              <w:rPr>
                <w:rFonts w:ascii="Sylfaen" w:hAnsi="Sylfaen" w:cs="Calibri"/>
                <w:i/>
                <w:iCs/>
                <w:color w:val="86008A"/>
                <w:sz w:val="18"/>
                <w:szCs w:val="18"/>
              </w:rPr>
              <w:t xml:space="preserve">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C3AC63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588,507.5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B90D02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540,019.6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634E4A9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91.8%</w:t>
            </w:r>
          </w:p>
        </w:tc>
      </w:tr>
      <w:tr w:rsidR="00CA769F" w:rsidRPr="00162A1A" w14:paraId="521051DF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6B494349" w14:textId="77777777" w:rsidR="00CA769F" w:rsidRPr="00162A1A" w:rsidRDefault="00CA769F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საოპერაციო</w:t>
            </w:r>
            <w:proofErr w:type="spellEnd"/>
            <w:r w:rsidRPr="00162A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A72F4B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910,173.3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CE401D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1,995,556.7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F7E79B8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219.3%</w:t>
            </w:r>
          </w:p>
        </w:tc>
      </w:tr>
      <w:tr w:rsidR="00CA769F" w:rsidRPr="00162A1A" w14:paraId="05EBC2C3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5721C388" w14:textId="77777777" w:rsidR="00CA769F" w:rsidRPr="00162A1A" w:rsidRDefault="00CA769F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არაფინანსური</w:t>
            </w:r>
            <w:proofErr w:type="spellEnd"/>
            <w:r w:rsidRPr="00162A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აქტივების</w:t>
            </w:r>
            <w:proofErr w:type="spellEnd"/>
            <w:r w:rsidRPr="00162A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572B59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2,680,869.0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26C13C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2,742,155.1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5CFF4B6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102.3%</w:t>
            </w:r>
          </w:p>
        </w:tc>
      </w:tr>
      <w:tr w:rsidR="00CA769F" w:rsidRPr="00162A1A" w14:paraId="5BAA1C64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409B61BF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01AAFD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2,791,869.0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F097423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2,923,889.5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8B966D0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104.7%</w:t>
            </w:r>
          </w:p>
        </w:tc>
      </w:tr>
      <w:tr w:rsidR="00CA769F" w:rsidRPr="00162A1A" w14:paraId="6700EC22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28101893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8B76A1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111,000.0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52ACF1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181,734.4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7C18B11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163.7%</w:t>
            </w:r>
          </w:p>
        </w:tc>
      </w:tr>
      <w:tr w:rsidR="00CA769F" w:rsidRPr="00162A1A" w14:paraId="6C09BDD1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296FAFD7" w14:textId="77777777" w:rsidR="00CA769F" w:rsidRPr="00162A1A" w:rsidRDefault="00CA769F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მთლიანი</w:t>
            </w:r>
            <w:proofErr w:type="spellEnd"/>
            <w:r w:rsidRPr="00162A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B99CA1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-1,770,695.8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BA97F1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-746,598.5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C63CF06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42.2%</w:t>
            </w:r>
          </w:p>
        </w:tc>
      </w:tr>
      <w:tr w:rsidR="00CA769F" w:rsidRPr="00162A1A" w14:paraId="57D20D0F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4CC3F44F" w14:textId="77777777" w:rsidR="00CA769F" w:rsidRPr="00162A1A" w:rsidRDefault="00CA769F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ფინასური</w:t>
            </w:r>
            <w:proofErr w:type="spellEnd"/>
            <w:r w:rsidRPr="00162A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აქტივების</w:t>
            </w:r>
            <w:proofErr w:type="spellEnd"/>
            <w:r w:rsidRPr="00162A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4805E6F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-579,827.4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B372BC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667,504.0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E4568CB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</w:tr>
      <w:tr w:rsidR="00CA769F" w:rsidRPr="00162A1A" w14:paraId="43F7BC66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304BE612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C61069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145,783.3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707E1C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936,417.9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5A2DCA7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642.3%</w:t>
            </w:r>
          </w:p>
        </w:tc>
      </w:tr>
      <w:tr w:rsidR="00CA769F" w:rsidRPr="00162A1A" w14:paraId="786D9078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120364B5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ვალუტა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და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დეპოზიტები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3B2A74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D86E8C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754,335.8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115B27F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CA769F" w:rsidRPr="00162A1A" w14:paraId="6A1431FB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1E4C3FBC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35D7C0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144,598.3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A2D364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180,908.1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B9479DE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125.1%</w:t>
            </w:r>
          </w:p>
        </w:tc>
      </w:tr>
      <w:tr w:rsidR="00CA769F" w:rsidRPr="00162A1A" w14:paraId="66CC2AA6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23CE5F73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აქციები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და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სხვა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კაპიტალი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F307C85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1,185.0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25C791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1,174.0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E65E9EE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CA769F" w:rsidRPr="00162A1A" w14:paraId="2D39719B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418CFE51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05455D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725,610.6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42D5C1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268,913.9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10F2634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37.1%</w:t>
            </w:r>
          </w:p>
        </w:tc>
      </w:tr>
      <w:tr w:rsidR="00CA769F" w:rsidRPr="00162A1A" w14:paraId="23E89488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0FC8238C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ვალუტა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და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დეპოზიტები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087C57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455,610.6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96DE36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2D797D6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CA769F" w:rsidRPr="00162A1A" w14:paraId="65A4D1D7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2C96EA32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4A340E7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270,000.0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FDB55B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268,913.9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123634A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CA769F" w:rsidRPr="00162A1A" w14:paraId="6392707B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7F131BA3" w14:textId="77777777" w:rsidR="00CA769F" w:rsidRPr="00162A1A" w:rsidRDefault="00CA769F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ვალდებულებების</w:t>
            </w:r>
            <w:proofErr w:type="spellEnd"/>
            <w:r w:rsidRPr="00162A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B184A0F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1,190,868.4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DDCF15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1,414,102.4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15E23DC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118.7%</w:t>
            </w:r>
          </w:p>
        </w:tc>
      </w:tr>
      <w:tr w:rsidR="00CA769F" w:rsidRPr="00162A1A" w14:paraId="7E9117EB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03F21C6B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38E067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2,121,872.2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05BDB6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2,339,082.3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E4BD758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110.2%</w:t>
            </w:r>
          </w:p>
        </w:tc>
      </w:tr>
      <w:tr w:rsidR="00CA769F" w:rsidRPr="00162A1A" w14:paraId="1658B924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1F4F811E" w14:textId="77777777" w:rsidR="00CA769F" w:rsidRPr="00162A1A" w:rsidRDefault="00CA769F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819215B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1,057,000.0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218883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1,022,368.3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C7EC502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96.7%</w:t>
            </w:r>
          </w:p>
        </w:tc>
      </w:tr>
      <w:tr w:rsidR="00CA769F" w:rsidRPr="00162A1A" w14:paraId="3A3DDF47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64C364A1" w14:textId="1C929011" w:rsidR="00CA769F" w:rsidRPr="00162A1A" w:rsidRDefault="00CA769F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  <w:lang w:val="ka-GE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ფასიანი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ქაღალდები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,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გარდა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აქციებისა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  <w:lang w:val="ka-GE"/>
              </w:rPr>
              <w:t>*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6F86A6D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1,057,000.0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17ADB0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1,022,368.3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E6F2DD3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CA769F" w:rsidRPr="00162A1A" w14:paraId="7CC13096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72AB88B9" w14:textId="77777777" w:rsidR="00CA769F" w:rsidRPr="00162A1A" w:rsidRDefault="00CA769F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9A90A8F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1,064,872.2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06D26A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1,316,714.0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1C2E468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123.6%</w:t>
            </w:r>
          </w:p>
        </w:tc>
      </w:tr>
      <w:tr w:rsidR="00CA769F" w:rsidRPr="00162A1A" w14:paraId="498BF0F8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1A71DD49" w14:textId="77777777" w:rsidR="00CA769F" w:rsidRPr="00162A1A" w:rsidRDefault="00CA769F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ვალუტა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და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დეპოზიტები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42F77D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1D3234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41BCCC8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CA769F" w:rsidRPr="00162A1A" w14:paraId="658DA47D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18A82B8B" w14:textId="77777777" w:rsidR="00CA769F" w:rsidRPr="00162A1A" w:rsidRDefault="00CA769F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ფასიანი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ქაღალდები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,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გარდა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აქციებისა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9B37FC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BF72C7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AA2E08F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CA769F" w:rsidRPr="00162A1A" w14:paraId="4C712321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05EC47C0" w14:textId="77777777" w:rsidR="00CA769F" w:rsidRPr="00162A1A" w:rsidRDefault="00CA769F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4893949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1,064,872.2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6789A0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1,316,713.0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2178C61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123.6%</w:t>
            </w:r>
          </w:p>
        </w:tc>
      </w:tr>
      <w:tr w:rsidR="00CA769F" w:rsidRPr="00162A1A" w14:paraId="431E8E91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2B5D842D" w14:textId="77777777" w:rsidR="00CA769F" w:rsidRPr="00162A1A" w:rsidRDefault="00CA769F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A48E5C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931,003.8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CF63B5B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924,979.9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D500D64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99.4%</w:t>
            </w:r>
          </w:p>
        </w:tc>
      </w:tr>
      <w:tr w:rsidR="00CA769F" w:rsidRPr="00162A1A" w14:paraId="68D1FCA2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06503755" w14:textId="77777777" w:rsidR="00CA769F" w:rsidRPr="00162A1A" w:rsidRDefault="00CA769F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676582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34,689.4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FAE1DD1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34,689.4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5BAC2DB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100.0%</w:t>
            </w:r>
          </w:p>
        </w:tc>
      </w:tr>
      <w:tr w:rsidR="00CA769F" w:rsidRPr="00162A1A" w14:paraId="33654F55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5AD5D214" w14:textId="77777777" w:rsidR="00CA769F" w:rsidRPr="00162A1A" w:rsidRDefault="00CA769F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ფასიანი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ქაღალდები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,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გარდა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აქციებისა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E93370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32,000.0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867384A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32,000.0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AE7383D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CA769F" w:rsidRPr="00162A1A" w14:paraId="25C75055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50A13B2E" w14:textId="77777777" w:rsidR="00CA769F" w:rsidRPr="00162A1A" w:rsidRDefault="00CA769F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468429B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2,689.4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D0078E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2,689.4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DBEA4DB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CA769F" w:rsidRPr="00162A1A" w14:paraId="10FB9F4B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6A61A07F" w14:textId="77777777" w:rsidR="00CA769F" w:rsidRPr="00162A1A" w:rsidRDefault="00CA769F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lastRenderedPageBreak/>
              <w:t>საგარეო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571D40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896,314.4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09F66B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890,290.4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C3F3C5E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99.3%</w:t>
            </w:r>
          </w:p>
        </w:tc>
      </w:tr>
      <w:tr w:rsidR="00CA769F" w:rsidRPr="00162A1A" w14:paraId="266EB110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201ABC1E" w14:textId="77777777" w:rsidR="00CA769F" w:rsidRPr="00162A1A" w:rsidRDefault="00CA769F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AF8365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890,666.8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5091E2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884,642.9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1F95CED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CA769F" w:rsidRPr="00162A1A" w14:paraId="0900CD26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7F8B78CB" w14:textId="77777777" w:rsidR="00CA769F" w:rsidRPr="00162A1A" w:rsidRDefault="00CA769F">
            <w:pPr>
              <w:ind w:firstLineChars="300" w:firstLine="54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სხვა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კრედიტორული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A5F69D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5,647.6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F2AA0C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5,647.6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1724D00" w14:textId="77777777" w:rsidR="00CA769F" w:rsidRPr="00162A1A" w:rsidRDefault="00CA769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CA769F" w:rsidRPr="00162A1A" w14:paraId="2301970D" w14:textId="77777777" w:rsidTr="00CA769F">
        <w:trPr>
          <w:trHeight w:val="284"/>
        </w:trPr>
        <w:tc>
          <w:tcPr>
            <w:tcW w:w="2695" w:type="pct"/>
            <w:shd w:val="clear" w:color="auto" w:fill="auto"/>
            <w:vAlign w:val="center"/>
            <w:hideMark/>
          </w:tcPr>
          <w:p w14:paraId="7ECADD9A" w14:textId="77777777" w:rsidR="00CA769F" w:rsidRPr="00162A1A" w:rsidRDefault="00CA769F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ბალანსი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A462FE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768278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577E10D" w14:textId="77777777" w:rsidR="00CA769F" w:rsidRPr="00162A1A" w:rsidRDefault="00CA769F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</w:tr>
    </w:tbl>
    <w:p w14:paraId="070A099B" w14:textId="1FF31FC7" w:rsidR="00CA769F" w:rsidRDefault="00CA769F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A5F8BF8" w14:textId="3C0DF5B2" w:rsidR="00CA769F" w:rsidRPr="00162A1A" w:rsidRDefault="00CA769F" w:rsidP="00CA769F">
      <w:pPr>
        <w:tabs>
          <w:tab w:val="left" w:pos="4590"/>
        </w:tabs>
        <w:ind w:right="78"/>
        <w:jc w:val="both"/>
        <w:rPr>
          <w:rFonts w:ascii="Sylfaen" w:hAnsi="Sylfaen"/>
          <w:i/>
          <w:noProof/>
          <w:sz w:val="18"/>
          <w:szCs w:val="18"/>
        </w:rPr>
      </w:pPr>
      <w:r w:rsidRPr="00162A1A">
        <w:rPr>
          <w:rFonts w:ascii="Sylfaen" w:hAnsi="Sylfaen"/>
          <w:b/>
          <w:i/>
          <w:noProof/>
          <w:sz w:val="18"/>
          <w:szCs w:val="18"/>
          <w:lang w:val="pt-BR"/>
        </w:rPr>
        <w:t>*შენიშვნა:</w:t>
      </w:r>
      <w:r w:rsidRPr="00162A1A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Pr="00162A1A">
        <w:rPr>
          <w:rFonts w:ascii="Sylfaen" w:hAnsi="Sylfaen"/>
          <w:i/>
          <w:noProof/>
          <w:sz w:val="18"/>
          <w:szCs w:val="18"/>
          <w:lang w:val="ka-GE"/>
        </w:rPr>
        <w:t xml:space="preserve">საანგარიშო პერიოდში ფასიანი ქაღალდების რეალიზაციით მიღებულმა თანხამ  </w:t>
      </w:r>
      <w:r w:rsidR="00B1704D" w:rsidRPr="00162A1A">
        <w:rPr>
          <w:rFonts w:ascii="Sylfaen" w:hAnsi="Sylfaen"/>
          <w:i/>
          <w:noProof/>
          <w:sz w:val="18"/>
          <w:szCs w:val="18"/>
          <w:lang w:val="ka-GE"/>
        </w:rPr>
        <w:t>2 571 225.3</w:t>
      </w:r>
      <w:r w:rsidRPr="00162A1A">
        <w:rPr>
          <w:rFonts w:ascii="Sylfaen" w:hAnsi="Sylfaen"/>
          <w:i/>
          <w:noProof/>
          <w:sz w:val="18"/>
          <w:szCs w:val="18"/>
          <w:lang w:val="ka-GE"/>
        </w:rPr>
        <w:t xml:space="preserve"> ათასი ლარი, ხოლო ძირითადი თანხის დაფარვამ 1 </w:t>
      </w:r>
      <w:r w:rsidR="00B1704D" w:rsidRPr="00162A1A">
        <w:rPr>
          <w:rFonts w:ascii="Sylfaen" w:hAnsi="Sylfaen"/>
          <w:i/>
          <w:noProof/>
          <w:sz w:val="18"/>
          <w:szCs w:val="18"/>
          <w:lang w:val="ka-GE"/>
        </w:rPr>
        <w:t>548 857.0</w:t>
      </w:r>
      <w:r w:rsidRPr="00162A1A">
        <w:rPr>
          <w:rFonts w:ascii="Sylfaen" w:hAnsi="Sylfaen"/>
          <w:i/>
          <w:noProof/>
          <w:sz w:val="18"/>
          <w:szCs w:val="18"/>
          <w:lang w:val="ka-GE"/>
        </w:rPr>
        <w:t xml:space="preserve"> ათასი ლარი შეადგინა. შესაბამისად, სახაზინო ვალდებულებების და სახაზინო ობლიგაციების გამოშვების შედეგად, საშინაო ვალდებულების ზრდამ შეადგინა </w:t>
      </w:r>
      <w:r w:rsidR="00344EBE" w:rsidRPr="00162A1A">
        <w:rPr>
          <w:rFonts w:ascii="Sylfaen" w:hAnsi="Sylfaen"/>
          <w:i/>
          <w:noProof/>
          <w:sz w:val="18"/>
          <w:szCs w:val="18"/>
          <w:lang w:val="ka-GE"/>
        </w:rPr>
        <w:t xml:space="preserve">1,022,368.3 </w:t>
      </w:r>
      <w:r w:rsidRPr="00162A1A">
        <w:rPr>
          <w:rFonts w:ascii="Sylfaen" w:hAnsi="Sylfaen"/>
          <w:i/>
          <w:noProof/>
          <w:sz w:val="18"/>
          <w:szCs w:val="18"/>
          <w:lang w:val="ka-GE"/>
        </w:rPr>
        <w:t xml:space="preserve">ათასი ლარი (აღნიშნული თანხა არ მოიცავს LMO ოპერაციების ფარგლებში არასაკასო მეთოდით აღრიცხულ </w:t>
      </w:r>
      <w:r w:rsidR="00344EBE" w:rsidRPr="00162A1A">
        <w:rPr>
          <w:rFonts w:ascii="Sylfaen" w:hAnsi="Sylfaen"/>
          <w:i/>
          <w:noProof/>
          <w:sz w:val="18"/>
          <w:szCs w:val="18"/>
          <w:lang w:val="ka-GE"/>
        </w:rPr>
        <w:t xml:space="preserve">7,053.4 </w:t>
      </w:r>
      <w:r w:rsidRPr="00162A1A">
        <w:rPr>
          <w:rFonts w:ascii="Sylfaen" w:hAnsi="Sylfaen"/>
          <w:i/>
          <w:noProof/>
          <w:sz w:val="18"/>
          <w:szCs w:val="18"/>
          <w:lang w:val="ka-GE"/>
        </w:rPr>
        <w:t>ათას ლარს).</w:t>
      </w:r>
    </w:p>
    <w:p w14:paraId="4D16E83D" w14:textId="3D02BC63" w:rsidR="00CA769F" w:rsidRDefault="00CA769F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447FC2DC" w14:textId="505B6B92" w:rsidR="00F26F14" w:rsidRDefault="00F26F1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61B54F0" w14:textId="77777777" w:rsidR="00885245" w:rsidRPr="00F26F14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highlight w:val="yellow"/>
          <w:lang w:val="pt-BR"/>
        </w:rPr>
      </w:pPr>
    </w:p>
    <w:p w14:paraId="4C456017" w14:textId="5A19DF2E" w:rsidR="00D402A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30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30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30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69"/>
        <w:gridCol w:w="1751"/>
        <w:gridCol w:w="1631"/>
        <w:gridCol w:w="1549"/>
      </w:tblGrid>
      <w:tr w:rsidR="00B1704D" w:rsidRPr="00162A1A" w14:paraId="350D86B1" w14:textId="77777777" w:rsidTr="00B1704D">
        <w:trPr>
          <w:trHeight w:val="284"/>
        </w:trPr>
        <w:tc>
          <w:tcPr>
            <w:tcW w:w="2696" w:type="pct"/>
            <w:shd w:val="clear" w:color="auto" w:fill="auto"/>
            <w:vAlign w:val="center"/>
            <w:hideMark/>
          </w:tcPr>
          <w:p w14:paraId="70E8800B" w14:textId="77777777" w:rsidR="00B1704D" w:rsidRPr="00162A1A" w:rsidRDefault="00B1704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28508C1" w14:textId="77777777" w:rsidR="00B1704D" w:rsidRPr="00162A1A" w:rsidRDefault="00B1704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 xml:space="preserve">9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თვის</w:t>
            </w:r>
            <w:proofErr w:type="spellEnd"/>
            <w:r w:rsidRPr="00162A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დაზუსტებული</w:t>
            </w:r>
            <w:proofErr w:type="spellEnd"/>
            <w:r w:rsidRPr="00162A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გეგმა</w:t>
            </w:r>
            <w:proofErr w:type="spellEnd"/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64AD972C" w14:textId="77777777" w:rsidR="00B1704D" w:rsidRPr="00162A1A" w:rsidRDefault="00B1704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 xml:space="preserve">9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თვის</w:t>
            </w:r>
            <w:proofErr w:type="spellEnd"/>
            <w:r w:rsidRPr="00162A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28D62A0" w14:textId="77777777" w:rsidR="00B1704D" w:rsidRPr="00162A1A" w:rsidRDefault="00B1704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შესრულება</w:t>
            </w:r>
            <w:proofErr w:type="spellEnd"/>
            <w:r w:rsidRPr="00162A1A">
              <w:rPr>
                <w:rFonts w:ascii="Sylfaen" w:hAnsi="Sylfaen" w:cs="Calibri"/>
                <w:sz w:val="18"/>
                <w:szCs w:val="18"/>
              </w:rPr>
              <w:t xml:space="preserve"> %</w:t>
            </w:r>
          </w:p>
        </w:tc>
      </w:tr>
      <w:tr w:rsidR="00B1704D" w:rsidRPr="00162A1A" w14:paraId="26E41D0A" w14:textId="77777777" w:rsidTr="00B1704D">
        <w:trPr>
          <w:trHeight w:val="284"/>
        </w:trPr>
        <w:tc>
          <w:tcPr>
            <w:tcW w:w="2696" w:type="pct"/>
            <w:shd w:val="clear" w:color="auto" w:fill="auto"/>
            <w:vAlign w:val="center"/>
            <w:hideMark/>
          </w:tcPr>
          <w:p w14:paraId="62F503CC" w14:textId="77777777" w:rsidR="00B1704D" w:rsidRPr="00162A1A" w:rsidRDefault="00B1704D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9F9E98" w14:textId="77777777" w:rsidR="00B1704D" w:rsidRPr="00162A1A" w:rsidRDefault="00B1704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17,946,089.0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4294263A" w14:textId="77777777" w:rsidR="00B1704D" w:rsidRPr="00162A1A" w:rsidRDefault="00B1704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19,002,754.5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88B6665" w14:textId="77777777" w:rsidR="00B1704D" w:rsidRPr="00162A1A" w:rsidRDefault="00B1704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105.9%</w:t>
            </w:r>
          </w:p>
        </w:tc>
      </w:tr>
      <w:tr w:rsidR="00B1704D" w:rsidRPr="00162A1A" w14:paraId="615022F3" w14:textId="77777777" w:rsidTr="00B1704D">
        <w:trPr>
          <w:trHeight w:val="284"/>
        </w:trPr>
        <w:tc>
          <w:tcPr>
            <w:tcW w:w="2696" w:type="pct"/>
            <w:shd w:val="clear" w:color="auto" w:fill="auto"/>
            <w:vAlign w:val="center"/>
            <w:hideMark/>
          </w:tcPr>
          <w:p w14:paraId="183AD523" w14:textId="77777777" w:rsidR="00B1704D" w:rsidRPr="00162A1A" w:rsidRDefault="00B1704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0F64A7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15,443,216.8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D951256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16,213,023.8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AED6BDF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105.0%</w:t>
            </w:r>
          </w:p>
        </w:tc>
      </w:tr>
      <w:tr w:rsidR="00B1704D" w:rsidRPr="00162A1A" w14:paraId="22421B06" w14:textId="77777777" w:rsidTr="00B1704D">
        <w:trPr>
          <w:trHeight w:val="284"/>
        </w:trPr>
        <w:tc>
          <w:tcPr>
            <w:tcW w:w="2696" w:type="pct"/>
            <w:shd w:val="clear" w:color="auto" w:fill="auto"/>
            <w:vAlign w:val="center"/>
            <w:hideMark/>
          </w:tcPr>
          <w:p w14:paraId="5A59B56B" w14:textId="77777777" w:rsidR="00B1704D" w:rsidRPr="00162A1A" w:rsidRDefault="00B1704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აქტივების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91AE5A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111,000.0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5DA7C6C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181,734.4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9E4313F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163.7%</w:t>
            </w:r>
          </w:p>
        </w:tc>
      </w:tr>
      <w:tr w:rsidR="00B1704D" w:rsidRPr="00162A1A" w14:paraId="69F80428" w14:textId="77777777" w:rsidTr="00B1704D">
        <w:trPr>
          <w:trHeight w:val="284"/>
        </w:trPr>
        <w:tc>
          <w:tcPr>
            <w:tcW w:w="2696" w:type="pct"/>
            <w:shd w:val="clear" w:color="auto" w:fill="auto"/>
            <w:vAlign w:val="center"/>
            <w:hideMark/>
          </w:tcPr>
          <w:p w14:paraId="5D13868D" w14:textId="77777777" w:rsidR="00B1704D" w:rsidRPr="00162A1A" w:rsidRDefault="00B1704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აქტივების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(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ნაშთის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გამოკლებით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1DB31A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270,000.0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B6CCB27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268,913.9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7BA87CA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B1704D" w:rsidRPr="00162A1A" w14:paraId="26348D32" w14:textId="77777777" w:rsidTr="00B1704D">
        <w:trPr>
          <w:trHeight w:val="284"/>
        </w:trPr>
        <w:tc>
          <w:tcPr>
            <w:tcW w:w="2696" w:type="pct"/>
            <w:shd w:val="clear" w:color="auto" w:fill="auto"/>
            <w:vAlign w:val="center"/>
            <w:hideMark/>
          </w:tcPr>
          <w:p w14:paraId="6AC46013" w14:textId="77777777" w:rsidR="00B1704D" w:rsidRPr="00162A1A" w:rsidRDefault="00B1704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A6A82D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2,121,872.2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368E6FC9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2,339,082.3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16336A8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110.2%</w:t>
            </w:r>
          </w:p>
        </w:tc>
      </w:tr>
      <w:tr w:rsidR="00B1704D" w:rsidRPr="00162A1A" w14:paraId="3583C518" w14:textId="77777777" w:rsidTr="00B1704D">
        <w:trPr>
          <w:trHeight w:val="284"/>
        </w:trPr>
        <w:tc>
          <w:tcPr>
            <w:tcW w:w="2696" w:type="pct"/>
            <w:shd w:val="clear" w:color="auto" w:fill="auto"/>
            <w:vAlign w:val="center"/>
            <w:hideMark/>
          </w:tcPr>
          <w:p w14:paraId="4919798D" w14:textId="77777777" w:rsidR="00B1704D" w:rsidRPr="00162A1A" w:rsidRDefault="00B1704D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58ED83" w14:textId="77777777" w:rsidR="00B1704D" w:rsidRPr="00162A1A" w:rsidRDefault="00B1704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18,401,699.7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B9CABE1" w14:textId="77777777" w:rsidR="00B1704D" w:rsidRPr="00162A1A" w:rsidRDefault="00B1704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18,248,418.7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47AC927" w14:textId="77777777" w:rsidR="00B1704D" w:rsidRPr="00162A1A" w:rsidRDefault="00B1704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99.2%</w:t>
            </w:r>
          </w:p>
        </w:tc>
      </w:tr>
      <w:tr w:rsidR="00B1704D" w:rsidRPr="00162A1A" w14:paraId="3326FC45" w14:textId="77777777" w:rsidTr="00B1704D">
        <w:trPr>
          <w:trHeight w:val="284"/>
        </w:trPr>
        <w:tc>
          <w:tcPr>
            <w:tcW w:w="2696" w:type="pct"/>
            <w:shd w:val="clear" w:color="auto" w:fill="auto"/>
            <w:vAlign w:val="center"/>
            <w:hideMark/>
          </w:tcPr>
          <w:p w14:paraId="1B2D0116" w14:textId="77777777" w:rsidR="00B1704D" w:rsidRPr="00162A1A" w:rsidRDefault="00B1704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8F7AE4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14,533,043.5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236A44C3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14,217,467.2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EDCAEB4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B1704D" w:rsidRPr="00162A1A" w14:paraId="37459DF6" w14:textId="77777777" w:rsidTr="00B1704D">
        <w:trPr>
          <w:trHeight w:val="284"/>
        </w:trPr>
        <w:tc>
          <w:tcPr>
            <w:tcW w:w="2696" w:type="pct"/>
            <w:shd w:val="clear" w:color="auto" w:fill="auto"/>
            <w:vAlign w:val="center"/>
            <w:hideMark/>
          </w:tcPr>
          <w:p w14:paraId="79A8A47A" w14:textId="77777777" w:rsidR="00B1704D" w:rsidRPr="00162A1A" w:rsidRDefault="00B1704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აქტივების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BACC1D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2,791,869.0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A354EAC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2,923,889.5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A180A07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104.7%</w:t>
            </w:r>
          </w:p>
        </w:tc>
      </w:tr>
      <w:tr w:rsidR="00B1704D" w:rsidRPr="00162A1A" w14:paraId="208A74DD" w14:textId="77777777" w:rsidTr="00B1704D">
        <w:trPr>
          <w:trHeight w:val="284"/>
        </w:trPr>
        <w:tc>
          <w:tcPr>
            <w:tcW w:w="2696" w:type="pct"/>
            <w:shd w:val="clear" w:color="auto" w:fill="auto"/>
            <w:vAlign w:val="center"/>
            <w:hideMark/>
          </w:tcPr>
          <w:p w14:paraId="04C9C408" w14:textId="77777777" w:rsidR="00B1704D" w:rsidRPr="00162A1A" w:rsidRDefault="00B1704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აქტივების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(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ნაშთის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გამოკლებით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721C54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145,783.3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3B5AFE8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182,082.2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C2A5EFB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124.9%</w:t>
            </w:r>
          </w:p>
        </w:tc>
      </w:tr>
      <w:tr w:rsidR="00B1704D" w:rsidRPr="00162A1A" w14:paraId="613E0F99" w14:textId="77777777" w:rsidTr="00B1704D">
        <w:trPr>
          <w:trHeight w:val="284"/>
        </w:trPr>
        <w:tc>
          <w:tcPr>
            <w:tcW w:w="2696" w:type="pct"/>
            <w:shd w:val="clear" w:color="auto" w:fill="auto"/>
            <w:vAlign w:val="center"/>
            <w:hideMark/>
          </w:tcPr>
          <w:p w14:paraId="7AB2062B" w14:textId="77777777" w:rsidR="00B1704D" w:rsidRPr="00162A1A" w:rsidRDefault="00B1704D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</w:t>
            </w:r>
            <w:proofErr w:type="spellEnd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A38F31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931,003.8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0FB9101D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924,979.9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9ABDCAF" w14:textId="77777777" w:rsidR="00B1704D" w:rsidRPr="00162A1A" w:rsidRDefault="00B1704D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62A1A">
              <w:rPr>
                <w:rFonts w:ascii="Sylfae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B1704D" w:rsidRPr="00162A1A" w14:paraId="05A7B602" w14:textId="77777777" w:rsidTr="00B1704D">
        <w:trPr>
          <w:trHeight w:val="284"/>
        </w:trPr>
        <w:tc>
          <w:tcPr>
            <w:tcW w:w="2696" w:type="pct"/>
            <w:shd w:val="clear" w:color="auto" w:fill="auto"/>
            <w:vAlign w:val="center"/>
            <w:hideMark/>
          </w:tcPr>
          <w:p w14:paraId="24E93B3F" w14:textId="77777777" w:rsidR="00B1704D" w:rsidRPr="00162A1A" w:rsidRDefault="00B1704D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ნაშთის</w:t>
            </w:r>
            <w:proofErr w:type="spellEnd"/>
            <w:r w:rsidRPr="00162A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162A1A">
              <w:rPr>
                <w:rFonts w:ascii="Sylfaen" w:hAnsi="Sylfaen" w:cs="Calibri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292B17C" w14:textId="77777777" w:rsidR="00B1704D" w:rsidRPr="00162A1A" w:rsidRDefault="00B1704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-455,610.6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0AFB477" w14:textId="77777777" w:rsidR="00B1704D" w:rsidRPr="00162A1A" w:rsidRDefault="00B1704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754,335.8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FAB31F1" w14:textId="77777777" w:rsidR="00B1704D" w:rsidRPr="00162A1A" w:rsidRDefault="00B1704D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162A1A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</w:tr>
    </w:tbl>
    <w:p w14:paraId="107CFB19" w14:textId="04E105F3" w:rsidR="00B1704D" w:rsidRDefault="00B1704D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47ADDB7F" w14:textId="132DB5B6" w:rsidR="00B1704D" w:rsidRDefault="00B1704D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BA0BC9D" w14:textId="2F1D6759" w:rsidR="00B1704D" w:rsidRDefault="00B1704D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6127BA1" w14:textId="1C34CA25" w:rsidR="00B1704D" w:rsidRDefault="00B1704D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03B9B73" w14:textId="77777777" w:rsidR="00B1704D" w:rsidRDefault="00B1704D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FAEB48F" w14:textId="6C4833AB" w:rsidR="0066161F" w:rsidRDefault="0066161F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8F30ADA" w14:textId="448162B3" w:rsidR="0066161F" w:rsidRDefault="0066161F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2B434BC" w14:textId="77777777" w:rsidR="0066161F" w:rsidRPr="00730AEE" w:rsidRDefault="0066161F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24E07F2" w14:textId="0614880E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5CB43C81" w14:textId="5048B1AF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0FD5673C" w14:textId="64CB833C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6E767753" w14:textId="039E958F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75DC3A8E" w14:textId="47DCE644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007AA43C" w14:textId="15F5DD86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14401EF2" w14:textId="77777777" w:rsidR="00730AEE" w:rsidRPr="00F26F14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306FB811" w14:textId="48F523F1" w:rsidR="00A30550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F709E20" w14:textId="77777777" w:rsidR="00A30550" w:rsidRPr="00776AEE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E37BBDA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F26F14">
      <w:footerReference w:type="even" r:id="rId8"/>
      <w:footerReference w:type="default" r:id="rId9"/>
      <w:pgSz w:w="12240" w:h="15840"/>
      <w:pgMar w:top="720" w:right="720" w:bottom="993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4FF90" w14:textId="77777777" w:rsidR="00EA0DA5" w:rsidRDefault="00EA0DA5">
      <w:r>
        <w:separator/>
      </w:r>
    </w:p>
  </w:endnote>
  <w:endnote w:type="continuationSeparator" w:id="0">
    <w:p w14:paraId="37FB6901" w14:textId="77777777" w:rsidR="00EA0DA5" w:rsidRDefault="00EA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7D38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BBD0" w14:textId="77234C75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2A1A">
      <w:rPr>
        <w:noProof/>
      </w:rPr>
      <w:t>2</w:t>
    </w:r>
    <w:r>
      <w:rPr>
        <w:noProof/>
      </w:rPr>
      <w:fldChar w:fldCharType="end"/>
    </w:r>
  </w:p>
  <w:p w14:paraId="69DCE317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2AB9B" w14:textId="77777777" w:rsidR="00EA0DA5" w:rsidRDefault="00EA0DA5">
      <w:r>
        <w:separator/>
      </w:r>
    </w:p>
  </w:footnote>
  <w:footnote w:type="continuationSeparator" w:id="0">
    <w:p w14:paraId="26133C32" w14:textId="77777777" w:rsidR="00EA0DA5" w:rsidRDefault="00EA0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1D0D"/>
    <w:rsid w:val="0005206E"/>
    <w:rsid w:val="000624D0"/>
    <w:rsid w:val="00064ADD"/>
    <w:rsid w:val="00070501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2A1A"/>
    <w:rsid w:val="00164AB5"/>
    <w:rsid w:val="0017038F"/>
    <w:rsid w:val="00172D08"/>
    <w:rsid w:val="00174103"/>
    <w:rsid w:val="00177D45"/>
    <w:rsid w:val="00185F45"/>
    <w:rsid w:val="0018751E"/>
    <w:rsid w:val="00192A3F"/>
    <w:rsid w:val="001A5533"/>
    <w:rsid w:val="001B3125"/>
    <w:rsid w:val="001B62EE"/>
    <w:rsid w:val="001B75A1"/>
    <w:rsid w:val="001C64D6"/>
    <w:rsid w:val="001C7E32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3D2"/>
    <w:rsid w:val="00267AE1"/>
    <w:rsid w:val="00267CE1"/>
    <w:rsid w:val="0028674D"/>
    <w:rsid w:val="00287DF1"/>
    <w:rsid w:val="00296B82"/>
    <w:rsid w:val="002B2E3C"/>
    <w:rsid w:val="002B78B1"/>
    <w:rsid w:val="002C3AF9"/>
    <w:rsid w:val="002C79A8"/>
    <w:rsid w:val="002D01DA"/>
    <w:rsid w:val="002D66EB"/>
    <w:rsid w:val="002E4DC7"/>
    <w:rsid w:val="002F6EB4"/>
    <w:rsid w:val="00304CF5"/>
    <w:rsid w:val="003071E0"/>
    <w:rsid w:val="00314705"/>
    <w:rsid w:val="00316394"/>
    <w:rsid w:val="00317F48"/>
    <w:rsid w:val="003249CF"/>
    <w:rsid w:val="00324D21"/>
    <w:rsid w:val="00327BB9"/>
    <w:rsid w:val="0033474D"/>
    <w:rsid w:val="00344EBE"/>
    <w:rsid w:val="00345EBB"/>
    <w:rsid w:val="00347AF8"/>
    <w:rsid w:val="0035597C"/>
    <w:rsid w:val="00363716"/>
    <w:rsid w:val="0036435E"/>
    <w:rsid w:val="003643AA"/>
    <w:rsid w:val="003660D2"/>
    <w:rsid w:val="0037341D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C7D42"/>
    <w:rsid w:val="003D0151"/>
    <w:rsid w:val="003D6681"/>
    <w:rsid w:val="003E52D2"/>
    <w:rsid w:val="003F07EC"/>
    <w:rsid w:val="003F0D9B"/>
    <w:rsid w:val="003F0FE5"/>
    <w:rsid w:val="003F27B0"/>
    <w:rsid w:val="003F3F2F"/>
    <w:rsid w:val="00400B84"/>
    <w:rsid w:val="00407E7B"/>
    <w:rsid w:val="00413797"/>
    <w:rsid w:val="004148F0"/>
    <w:rsid w:val="004250C8"/>
    <w:rsid w:val="00431C48"/>
    <w:rsid w:val="00434D4A"/>
    <w:rsid w:val="0044358D"/>
    <w:rsid w:val="0044494C"/>
    <w:rsid w:val="00446A42"/>
    <w:rsid w:val="004552CA"/>
    <w:rsid w:val="00460453"/>
    <w:rsid w:val="004651CC"/>
    <w:rsid w:val="004654B7"/>
    <w:rsid w:val="0047215B"/>
    <w:rsid w:val="0047670D"/>
    <w:rsid w:val="0047735E"/>
    <w:rsid w:val="004828F2"/>
    <w:rsid w:val="004839A3"/>
    <w:rsid w:val="0048644F"/>
    <w:rsid w:val="004A059D"/>
    <w:rsid w:val="004B2B62"/>
    <w:rsid w:val="004B626B"/>
    <w:rsid w:val="004C4F17"/>
    <w:rsid w:val="004E7B74"/>
    <w:rsid w:val="004F3D40"/>
    <w:rsid w:val="00511CEC"/>
    <w:rsid w:val="005316BC"/>
    <w:rsid w:val="0053556F"/>
    <w:rsid w:val="005405D8"/>
    <w:rsid w:val="00545297"/>
    <w:rsid w:val="005531DE"/>
    <w:rsid w:val="00564558"/>
    <w:rsid w:val="005702C8"/>
    <w:rsid w:val="0057122F"/>
    <w:rsid w:val="00571979"/>
    <w:rsid w:val="00592728"/>
    <w:rsid w:val="005965F2"/>
    <w:rsid w:val="005B0918"/>
    <w:rsid w:val="005B6FDA"/>
    <w:rsid w:val="005D77D7"/>
    <w:rsid w:val="005E4481"/>
    <w:rsid w:val="005F6E87"/>
    <w:rsid w:val="005F6FEF"/>
    <w:rsid w:val="006008A0"/>
    <w:rsid w:val="0060447B"/>
    <w:rsid w:val="006142D5"/>
    <w:rsid w:val="0062284F"/>
    <w:rsid w:val="00623050"/>
    <w:rsid w:val="00624E0B"/>
    <w:rsid w:val="00626214"/>
    <w:rsid w:val="00636269"/>
    <w:rsid w:val="00652C6E"/>
    <w:rsid w:val="00656250"/>
    <w:rsid w:val="0066141A"/>
    <w:rsid w:val="0066161F"/>
    <w:rsid w:val="00671F58"/>
    <w:rsid w:val="0068240E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710EF2"/>
    <w:rsid w:val="00724648"/>
    <w:rsid w:val="00730AEE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AF6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15F91"/>
    <w:rsid w:val="00925969"/>
    <w:rsid w:val="00935EC4"/>
    <w:rsid w:val="00952990"/>
    <w:rsid w:val="009540B8"/>
    <w:rsid w:val="00965823"/>
    <w:rsid w:val="00986349"/>
    <w:rsid w:val="00996EFF"/>
    <w:rsid w:val="009A3439"/>
    <w:rsid w:val="009A7F97"/>
    <w:rsid w:val="009B0108"/>
    <w:rsid w:val="009B1B98"/>
    <w:rsid w:val="009B7250"/>
    <w:rsid w:val="009C4A57"/>
    <w:rsid w:val="009D148D"/>
    <w:rsid w:val="009D451A"/>
    <w:rsid w:val="009E2932"/>
    <w:rsid w:val="00A12697"/>
    <w:rsid w:val="00A233FA"/>
    <w:rsid w:val="00A30550"/>
    <w:rsid w:val="00A54406"/>
    <w:rsid w:val="00A573F7"/>
    <w:rsid w:val="00A57C22"/>
    <w:rsid w:val="00A710A3"/>
    <w:rsid w:val="00A72ABC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B4A5D"/>
    <w:rsid w:val="00AC2CCB"/>
    <w:rsid w:val="00AC5AAF"/>
    <w:rsid w:val="00AD6732"/>
    <w:rsid w:val="00B00200"/>
    <w:rsid w:val="00B02D73"/>
    <w:rsid w:val="00B06075"/>
    <w:rsid w:val="00B06C33"/>
    <w:rsid w:val="00B16240"/>
    <w:rsid w:val="00B1704D"/>
    <w:rsid w:val="00B210E0"/>
    <w:rsid w:val="00B2412F"/>
    <w:rsid w:val="00B30574"/>
    <w:rsid w:val="00B331A5"/>
    <w:rsid w:val="00B33652"/>
    <w:rsid w:val="00B40552"/>
    <w:rsid w:val="00B40996"/>
    <w:rsid w:val="00B41B55"/>
    <w:rsid w:val="00B506F4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D7649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0DF1"/>
    <w:rsid w:val="00C71573"/>
    <w:rsid w:val="00C773A7"/>
    <w:rsid w:val="00C92323"/>
    <w:rsid w:val="00C94226"/>
    <w:rsid w:val="00C94613"/>
    <w:rsid w:val="00C95541"/>
    <w:rsid w:val="00C96820"/>
    <w:rsid w:val="00C9697E"/>
    <w:rsid w:val="00C97D18"/>
    <w:rsid w:val="00CA102B"/>
    <w:rsid w:val="00CA234A"/>
    <w:rsid w:val="00CA769F"/>
    <w:rsid w:val="00CB035B"/>
    <w:rsid w:val="00CB207F"/>
    <w:rsid w:val="00CB63C8"/>
    <w:rsid w:val="00CD2D4B"/>
    <w:rsid w:val="00CD505B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402A4"/>
    <w:rsid w:val="00D54373"/>
    <w:rsid w:val="00D611AD"/>
    <w:rsid w:val="00D656B9"/>
    <w:rsid w:val="00D668F6"/>
    <w:rsid w:val="00D67212"/>
    <w:rsid w:val="00D71170"/>
    <w:rsid w:val="00D7710C"/>
    <w:rsid w:val="00D94D25"/>
    <w:rsid w:val="00D97448"/>
    <w:rsid w:val="00DB3985"/>
    <w:rsid w:val="00DB7063"/>
    <w:rsid w:val="00DB73BD"/>
    <w:rsid w:val="00DC01FE"/>
    <w:rsid w:val="00DC5C16"/>
    <w:rsid w:val="00DD1B16"/>
    <w:rsid w:val="00DD24EA"/>
    <w:rsid w:val="00DE0B10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DEA"/>
    <w:rsid w:val="00E679EE"/>
    <w:rsid w:val="00E67F58"/>
    <w:rsid w:val="00E7329E"/>
    <w:rsid w:val="00E77271"/>
    <w:rsid w:val="00EA0DA5"/>
    <w:rsid w:val="00EA291F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13F30"/>
    <w:rsid w:val="00F23336"/>
    <w:rsid w:val="00F23965"/>
    <w:rsid w:val="00F26F14"/>
    <w:rsid w:val="00F2735D"/>
    <w:rsid w:val="00F373DC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4AF19F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C73A-9467-4800-BF5F-0AACA398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5</cp:revision>
  <cp:lastPrinted>2019-04-23T07:12:00Z</cp:lastPrinted>
  <dcterms:created xsi:type="dcterms:W3CDTF">2024-10-22T07:36:00Z</dcterms:created>
  <dcterms:modified xsi:type="dcterms:W3CDTF">2024-10-31T09:14:00Z</dcterms:modified>
</cp:coreProperties>
</file>